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T1496.002</w:t>
      </w:r>
    </w:p>
    <w:p>
      <w:pPr>
        <w:pStyle w:val="Heading2"/>
      </w:pPr>
      <w:r>
        <w:t>TTP Information</w:t>
      </w:r>
    </w:p>
    <w:p>
      <w:r>
        <w:t>Name: Bandwidth Hijacking</w:t>
      </w:r>
    </w:p>
    <w:p>
      <w:r>
        <w:t xml:space="preserve">Description: Adversaries may leverage the network bandwidth resources of co-opted systems to complete resource-intensive tasks, which may impact system and/or hosted service availability. </w:t>
        <w:br/>
        <w:br/>
        <w:t>Adversaries may also use malware that leverages a system's network bandwidth as part of a botnet in order to facilitate [Network Denial of Service](https://attack.mitre.org/techniques/T1498) campaigns and/or to seed malicious torrents.(Citation: GoBotKR) Alternatively, they may engage in proxyjacking by selling use of the victims' network bandwidth and IP address to proxyware services.(Citation: Sysdig Proxyjacking) Finally, they may engage in internet-wide scanning in order to identify additional targets for compromise.(Citation: Unit 42 Leaked Environment Variables 2024)</w:t>
        <w:br/>
        <w:br/>
        <w:t>In addition to incurring potential financial costs or availability disruptions, this technique may cause reputational damage if a victim’s bandwidth is used for illegal activities.(Citation: Sysdig Proxyjacking)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