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T1546.005</w:t>
      </w:r>
    </w:p>
    <w:p>
      <w:pPr>
        <w:pStyle w:val="Heading2"/>
      </w:pPr>
      <w:r>
        <w:t>TTP Information</w:t>
      </w:r>
    </w:p>
    <w:p>
      <w:r>
        <w:t>Name: Trap</w:t>
      </w:r>
    </w:p>
    <w:p>
      <w:r>
        <w:t>Description: Adversaries may establish persistence by executing malicious content triggered by an interrupt signal. The &lt;code&gt;trap&lt;/code&gt; command allows programs and shells to specify commands that will be executed upon receiving interrupt signals. A common situation is a script allowing for graceful termination and handling of common keyboard interrupts like &lt;code&gt;ctrl+c&lt;/code&gt; and &lt;code&gt;ctrl+d&lt;/code&gt;.</w:t>
        <w:br/>
        <w:br/>
        <w:t>Adversaries can use this to register code to be executed when the shell encounters specific interrupts as a persistence mechanism. Trap commands are of the following format &lt;code&gt;trap 'command list' signals&lt;/code&gt; where "command list" will be executed when "signals" are received.(Citation: Trap Manual)(Citation: Cyberciti Trap Statements)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privilege-escalation</w:t>
      </w:r>
    </w:p>
    <w:p>
      <w:r>
        <w:rPr>
          <w:b/>
        </w:rPr>
        <w:t xml:space="preserve">• </w:t>
      </w:r>
      <w:r>
        <w:t>mitre-attack: persistence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