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T1550.002</w:t>
      </w:r>
    </w:p>
    <w:p>
      <w:pPr>
        <w:pStyle w:val="Heading2"/>
      </w:pPr>
      <w:r>
        <w:t>TTP Information</w:t>
      </w:r>
    </w:p>
    <w:p>
      <w:r>
        <w:t>Name: Pass the Hash</w:t>
      </w:r>
    </w:p>
    <w:p>
      <w:r>
        <w:t>Description: Adversaries may “pass the hash” using stolen password hashes to move laterally within an environment, bypassing normal system access controls. Pass the hash (PtH) is a method of authenticating as a user without having access to the user's cleartext password. This method bypasses standard authentication steps that require a cleartext password, moving directly into the portion of the authentication that uses the password hash.</w:t>
        <w:br/>
        <w:br/>
        <w:t>When performing PtH, valid password hashes for the account being used are captured using a [Credential Access](https://attack.mitre.org/tactics/TA0006) technique. Captured hashes are used with PtH to authenticate as that user. Once authenticated, PtH may be used to perform actions on local or remote systems.</w:t>
        <w:br/>
        <w:br/>
        <w:t>Adversaries may also use stolen password hashes to "overpass the hash." Similar to PtH, this involves using a password hash to authenticate as a user but also uses the password hash to create a valid Kerberos ticket. This ticket can then be used to perform [Pass the Ticket](https://attack.mitre.org/techniques/T1550/003) attacks.(Citation: Stealthbits Overpass-the-Hash)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lateral-movement</w:t>
      </w:r>
    </w:p>
    <w:p>
      <w:pPr>
        <w:pStyle w:val="Heading2"/>
      </w:pPr>
      <w:r>
        <w:t>Malware</w:t>
      </w:r>
    </w:p>
    <w:p>
      <w:pPr>
        <w:pStyle w:val="ListBullet"/>
      </w:pPr>
      <w:r>
        <w:t>BADHATCH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HOPLIGHT</w:t>
      </w:r>
    </w:p>
    <w:p>
      <w:pPr>
        <w:pStyle w:val="Heading2"/>
      </w:pPr>
      <w:r>
        <w:t>Tools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Empire</w:t>
      </w:r>
    </w:p>
    <w:p>
      <w:pPr>
        <w:pStyle w:val="ListBullet"/>
      </w:pPr>
      <w:r>
        <w:t>Mimikatz</w:t>
      </w:r>
    </w:p>
    <w:p>
      <w:pPr>
        <w:pStyle w:val="ListBullet"/>
      </w:pPr>
      <w:r>
        <w:t>Pass-The-Hash Toolkit</w:t>
      </w:r>
    </w:p>
    <w:p>
      <w:pPr>
        <w:pStyle w:val="ListBullet"/>
      </w:pPr>
      <w:r>
        <w:t>PoshC2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APT28</w:t>
      </w:r>
    </w:p>
    <w:p>
      <w:pPr>
        <w:pStyle w:val="ListBullet"/>
      </w:pPr>
      <w:r>
        <w:t>APT32</w:t>
      </w:r>
    </w:p>
    <w:p>
      <w:pPr>
        <w:pStyle w:val="ListBullet"/>
      </w:pPr>
      <w:r>
        <w:t>APT41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Chimera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FIN13</w:t>
      </w:r>
    </w:p>
    <w:p>
      <w:pPr>
        <w:pStyle w:val="ListBullet"/>
      </w:pPr>
      <w:r>
        <w:t>GALLIUM</w:t>
      </w:r>
    </w:p>
    <w:p>
      <w:pPr>
        <w:pStyle w:val="ListBullet"/>
      </w:pPr>
      <w:r>
        <w:t>Kimsuky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