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T1587</w:t>
      </w:r>
    </w:p>
    <w:p>
      <w:pPr>
        <w:pStyle w:val="Heading2"/>
      </w:pPr>
      <w:r>
        <w:t>TTP Information</w:t>
      </w:r>
    </w:p>
    <w:p>
      <w:r>
        <w:t>Name: Develop Capabilities</w:t>
      </w:r>
    </w:p>
    <w:p>
      <w:r>
        <w:t>Description: Adversaries may build capabilities that can be used during targeting. Rather than purchasing, freely downloading, or stealing capabilities, adversaries may develop their own capabilities in-house. This is the process of identifying development requirements and building solutions such as malware, exploits, and self-signed certificates. Adversaries may develop capabilities to support their operations throughout numerous phases of the adversary lifecycle.(Citation: Mandiant APT1)(Citation: Kaspersky Sofacy)(Citation: Bitdefender StrongPity June 2020)(Citation: Talos Promethium June 2020)</w:t>
        <w:br/>
        <w:br/>
        <w:t>As with legitimate development efforts, different skill sets may be required for developing capabilities. The skills needed may be located in-house, or may need to be contracted out. Use of a contractor may be considered an extension of that adversary's development capabilities, provided the adversary plays a role in shaping requirements and maintains a degree of exclusivity to the capability.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Kimsuky</w:t>
      </w:r>
    </w:p>
    <w:p>
      <w:pPr>
        <w:pStyle w:val="ListBullet"/>
      </w:pPr>
      <w:r>
        <w:t>Moonstone Sleet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