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T1591.002</w:t>
      </w:r>
    </w:p>
    <w:p>
      <w:pPr>
        <w:pStyle w:val="Heading2"/>
      </w:pPr>
      <w:r>
        <w:t>TTP Information</w:t>
      </w:r>
    </w:p>
    <w:p>
      <w:r>
        <w:t>Name: Business Relationships</w:t>
      </w:r>
    </w:p>
    <w:p>
      <w:r>
        <w:t>Description: Adversaries may gather information about the victim's business relationships that can be used during targeting. Information about an organization’s business relationships may include a variety of details, including second or third-party organizations/domains (ex: managed service providers, contractors, etc.) that have connected (and potentially elevated) network access. This information may also reveal supply chains and shipment paths for the victim’s hardware and software resources.</w:t>
        <w:br/>
        <w:br/>
        <w:t>Adversaries may gather this information in various ways, such as direct elicitation via [Phishing for Information](https://attack.mitre.org/techniques/T1598). Information about business relationships may also be exposed to adversaries via online or other accessible data sets (ex: [Social Media](https://attack.mitre.org/techniques/T1593/001) or [Search Victim-Owned Websites](https://attack.mitre.org/techniques/T1594)).(Citation: ThreatPost Broadvoice Leak) Gathering this information may reveal opportunities for other forms of reconnaissance (ex: [Phishing for Information](https://attack.mitre.org/techniques/T1598) or [Search Open Websites/Domains](https://attack.mitre.org/techniques/T1593)), establishing operational resources (ex: [Establish Accounts](https://attack.mitre.org/techniques/T1585) or [Compromise Accounts](https://attack.mitre.org/techniques/T1586)), and/or initial access (ex: [Supply Chain Compromise](https://attack.mitre.org/techniques/T1195), [Drive-by Compromise](https://attack.mitre.org/techniques/T1189), or [Trusted Relationship](https://attack.mitre.org/techniques/T1199)).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Dragonfly</w:t>
      </w:r>
    </w:p>
    <w:p>
      <w:pPr>
        <w:pStyle w:val="ListBullet"/>
      </w:pPr>
      <w:r>
        <w:t>LAPSUS$</w:t>
      </w:r>
    </w:p>
    <w:p>
      <w:pPr>
        <w:pStyle w:val="ListBullet"/>
      </w:pPr>
      <w:r>
        <w:t>Sandworm Team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