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T1596.001</w:t>
      </w:r>
    </w:p>
    <w:p>
      <w:pPr>
        <w:pStyle w:val="Heading2"/>
      </w:pPr>
      <w:r>
        <w:t>TTP Information</w:t>
      </w:r>
    </w:p>
    <w:p>
      <w:r>
        <w:t>Name: DNS/Passive DNS</w:t>
      </w:r>
    </w:p>
    <w:p>
      <w:r>
        <w:t>Description: Adversaries may search DNS data for information about victims that can be used during targeting. DNS information may include a variety of details, including registered name servers as well as records that outline addressing for a target’s subdomains, mail servers, and other hosts.</w:t>
        <w:br/>
        <w:br/>
        <w:t>Adversaries may search DNS data to gather actionable information. Threat actors can query nameservers for a target organization directly, or search through centralized repositories of logged DNS query responses (known as passive DNS).(Citation: DNS Dumpster)(Citation: Circl Passive DNS) Adversaries may also seek and target DNS misconfigurations/leaks that reveal information about internal networks. Information from these sources may reveal opportunities for other forms of reconnaissance (ex: [Search Victim-Owned Websites](https://attack.mitre.org/techniques/T1594) or [Search Open Websites/Domains](https://attack.mitre.org/techniques/T1593)), establishing operational resources (ex: [Acquire Infrastructure](https://attack.mitre.org/techniques/T1583) or [Compromise Infrastructure](https://attack.mitre.org/techniques/T1584)), and/or initial access (ex: [External Remote Services](https://attack.mitre.org/techniques/T1133) or [Trusted Relationship](https://attack.mitre.org/techniques/T1199)).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