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T1600.001</w:t>
      </w:r>
    </w:p>
    <w:p>
      <w:pPr>
        <w:pStyle w:val="Heading2"/>
      </w:pPr>
      <w:r>
        <w:t>TTP Information</w:t>
      </w:r>
    </w:p>
    <w:p>
      <w:r>
        <w:t>Name: Reduce Key Space</w:t>
      </w:r>
    </w:p>
    <w:p>
      <w:r>
        <w:t>Description: Adversaries may reduce the level of effort required to decrypt data transmitted over the network by reducing the cipher strength of encrypted communications.(Citation: Cisco Synful Knock Evolution)</w:t>
        <w:br/>
        <w:br/>
        <w:t>Adversaries can weaken the encryption software on a compromised network device by reducing the key size used by the software to convert plaintext to ciphertext (e.g., from hundreds or thousands of bytes to just a couple of bytes). As a result, adversaries dramatically reduce the amount of effort needed to decrypt the protected information without the key.</w:t>
        <w:br/>
        <w:br/>
        <w:t>Adversaries may modify the key size used and other encryption parameters using specialized commands in a [Network Device CLI](https://attack.mitre.org/techniques/T1059/008) introduced to the system through [Modify System Image](https://attack.mitre.org/techniques/T1601) to change the configuration of the device. (Citation: Cisco Blog Legacy Device Attacks)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